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711" w:rsidRDefault="001A1081"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информатике</w:t>
      </w:r>
    </w:p>
    <w:p w:rsidR="00712711" w:rsidRDefault="001A1081">
      <w:pPr>
        <w:pStyle w:val="aa"/>
        <w:framePr w:wrap="around"/>
      </w:pPr>
      <w:r>
        <w:t>   1   </w:t>
      </w:r>
    </w:p>
    <w:p w:rsidR="00712711" w:rsidRDefault="00712711"/>
    <w:p w:rsidR="00712711" w:rsidRDefault="001A1081">
      <w:r>
        <w:t>Под</w:t>
      </w:r>
    </w:p>
    <w:p w:rsidR="00712711" w:rsidRDefault="001A1081">
      <w:pPr>
        <w:pStyle w:val="aa"/>
        <w:framePr w:wrap="around"/>
      </w:pPr>
      <w:r>
        <w:t>   2   </w:t>
      </w:r>
    </w:p>
    <w:p w:rsidR="00712711" w:rsidRDefault="00712711"/>
    <w:p w:rsidR="00712711" w:rsidRDefault="001A1081">
      <w:r>
        <w:t>АДА</w:t>
      </w:r>
    </w:p>
    <w:p w:rsidR="00712711" w:rsidRDefault="001A1081">
      <w:pPr>
        <w:pStyle w:val="aa"/>
        <w:framePr w:wrap="around"/>
      </w:pPr>
      <w:r>
        <w:t>   3   </w:t>
      </w:r>
    </w:p>
    <w:p w:rsidR="00712711" w:rsidRDefault="00712711"/>
    <w:p w:rsidR="00712711" w:rsidRDefault="001A1081">
      <w:r>
        <w:t>996</w:t>
      </w:r>
    </w:p>
    <w:p w:rsidR="00712711" w:rsidRDefault="001A1081">
      <w:pPr>
        <w:pStyle w:val="aa"/>
        <w:framePr w:wrap="around"/>
      </w:pPr>
      <w:r>
        <w:t>   4   </w:t>
      </w:r>
    </w:p>
    <w:p w:rsidR="00712711" w:rsidRDefault="00712711"/>
    <w:p w:rsidR="00712711" w:rsidRDefault="001A1081">
      <w:r>
        <w:t>12</w:t>
      </w:r>
    </w:p>
    <w:p w:rsidR="00712711" w:rsidRDefault="001A1081">
      <w:pPr>
        <w:pStyle w:val="aa"/>
        <w:framePr w:wrap="around"/>
      </w:pPr>
      <w:r>
        <w:t>   5   </w:t>
      </w:r>
    </w:p>
    <w:p w:rsidR="00712711" w:rsidRDefault="00712711"/>
    <w:p w:rsidR="00712711" w:rsidRDefault="001A1081">
      <w:r>
        <w:t>12212</w:t>
      </w:r>
    </w:p>
    <w:p w:rsidR="00712711" w:rsidRDefault="001A1081">
      <w:pPr>
        <w:pStyle w:val="aa"/>
        <w:framePr w:wrap="around"/>
      </w:pPr>
      <w:r>
        <w:t>   6   </w:t>
      </w:r>
    </w:p>
    <w:p w:rsidR="00712711" w:rsidRDefault="00712711"/>
    <w:p w:rsidR="00712711" w:rsidRDefault="001A1081">
      <w:r>
        <w:t>3</w:t>
      </w:r>
    </w:p>
    <w:p w:rsidR="00712711" w:rsidRDefault="001A1081">
      <w:pPr>
        <w:pStyle w:val="aa"/>
        <w:framePr w:wrap="around"/>
      </w:pPr>
      <w:r>
        <w:t>   7   </w:t>
      </w:r>
    </w:p>
    <w:p w:rsidR="00712711" w:rsidRDefault="00712711"/>
    <w:p w:rsidR="00712711" w:rsidRDefault="001A1081">
      <w:r>
        <w:t>5237164</w:t>
      </w:r>
    </w:p>
    <w:p w:rsidR="00712711" w:rsidRDefault="001A1081">
      <w:pPr>
        <w:pStyle w:val="aa"/>
        <w:framePr w:wrap="around"/>
      </w:pPr>
      <w:r>
        <w:t>   8   </w:t>
      </w:r>
    </w:p>
    <w:p w:rsidR="00712711" w:rsidRDefault="00712711"/>
    <w:p w:rsidR="00712711" w:rsidRDefault="001A1081">
      <w:r>
        <w:t>45</w:t>
      </w:r>
    </w:p>
    <w:p w:rsidR="00712711" w:rsidRDefault="001A1081">
      <w:pPr>
        <w:pStyle w:val="aa"/>
        <w:framePr w:wrap="around"/>
      </w:pPr>
      <w:r>
        <w:t>   9   </w:t>
      </w:r>
    </w:p>
    <w:p w:rsidR="00712711" w:rsidRDefault="00712711"/>
    <w:p w:rsidR="00712711" w:rsidRDefault="001A1081">
      <w:r>
        <w:t>8</w:t>
      </w:r>
    </w:p>
    <w:p w:rsidR="00712711" w:rsidRDefault="001A1081">
      <w:pPr>
        <w:pStyle w:val="aa"/>
        <w:framePr w:wrap="around"/>
      </w:pPr>
      <w:r>
        <w:t>  10  </w:t>
      </w:r>
    </w:p>
    <w:p w:rsidR="00712711" w:rsidRDefault="00712711"/>
    <w:p w:rsidR="00712711" w:rsidRDefault="001A1081">
      <w:r>
        <w:t>2</w:t>
      </w:r>
    </w:p>
    <w:p w:rsidR="00712711" w:rsidRDefault="001A1081">
      <w:pPr>
        <w:pStyle w:val="aa"/>
        <w:framePr w:wrap="around"/>
      </w:pPr>
      <w:r>
        <w:t>  11  </w:t>
      </w:r>
    </w:p>
    <w:p w:rsidR="00712711" w:rsidRDefault="00712711"/>
    <w:p w:rsidR="00712711" w:rsidRDefault="001A1081">
      <w:r>
        <w:t>зелёный</w:t>
      </w:r>
    </w:p>
    <w:p w:rsidR="00712711" w:rsidRDefault="001A1081">
      <w:pPr>
        <w:pStyle w:val="aa"/>
        <w:framePr w:wrap="around"/>
      </w:pPr>
      <w:r>
        <w:t>  12  </w:t>
      </w:r>
    </w:p>
    <w:p w:rsidR="00712711" w:rsidRDefault="00712711"/>
    <w:p w:rsidR="00712711" w:rsidRDefault="001A1081">
      <w:r>
        <w:t>69</w:t>
      </w:r>
    </w:p>
    <w:p w:rsidR="00712711" w:rsidRDefault="001A1081">
      <w:pPr>
        <w:pStyle w:val="aa"/>
        <w:framePr w:wrap="around"/>
      </w:pPr>
      <w:r>
        <w:t>  13  </w:t>
      </w:r>
    </w:p>
    <w:p w:rsidR="00712711" w:rsidRDefault="00712711"/>
    <w:p w:rsidR="00712711" w:rsidRDefault="001A1081">
      <w:r>
        <w:t>Свободный ответ</w:t>
      </w:r>
    </w:p>
    <w:p w:rsidR="00712711" w:rsidRDefault="001A1081">
      <w:pPr>
        <w:pStyle w:val="aa"/>
        <w:framePr w:wrap="around"/>
      </w:pPr>
      <w:r>
        <w:t>  14  </w:t>
      </w:r>
    </w:p>
    <w:p w:rsidR="00712711" w:rsidRDefault="00712711"/>
    <w:p w:rsidR="00712711" w:rsidRDefault="001A1081">
      <w:r>
        <w:t>Алгоритмы решения задач для OpenOffice.org Calc и Microsoft Excel совпадают. Формулы написаны для обеих электронных таблиц. Второй вариант – для OpenOffice.org Calc.</w:t>
      </w:r>
      <w:r>
        <w:br/>
      </w:r>
      <w:r>
        <w:br/>
        <w:t>Определим количество девушек, принявших участие в тестиро</w:t>
      </w:r>
      <w:r>
        <w:t>вании. Для этого в ячейку G2 запишем формулу:</w:t>
      </w:r>
      <w:r>
        <w:br/>
      </w:r>
      <w:r>
        <w:rPr>
          <w:b/>
        </w:rPr>
        <w:t>=СЧЁТЕСЛИ(B2:B1001;"жен")</w:t>
      </w:r>
      <w:r>
        <w:rPr>
          <w:b/>
        </w:rPr>
        <w:br/>
        <w:t>=COUNTIF(B2:B1001;"жен")</w:t>
      </w:r>
      <w:r>
        <w:rPr>
          <w:b/>
        </w:rPr>
        <w:br/>
      </w:r>
      <w:r>
        <w:t>считающую количество ячеек диапазона B2:B1001, значение которых равно «жен».</w:t>
      </w:r>
      <w:r>
        <w:br/>
        <w:t>Для ответа на второй вопрос будем использовать дополнительный столбец F. В него мы</w:t>
      </w:r>
      <w:r>
        <w:t xml:space="preserve"> внесём баллы студентов только химического факультета. В ячейку F2 запишем формулу:</w:t>
      </w:r>
      <w:r>
        <w:br/>
      </w:r>
      <w:r>
        <w:rPr>
          <w:b/>
        </w:rPr>
        <w:t>=ЕСЛИ(C2="химический";D2;"")</w:t>
      </w:r>
      <w:r>
        <w:rPr>
          <w:b/>
        </w:rPr>
        <w:br/>
      </w:r>
      <w:r>
        <w:rPr>
          <w:b/>
        </w:rPr>
        <w:lastRenderedPageBreak/>
        <w:t>=IF(C2="химический";D2;"")</w:t>
      </w:r>
      <w:r>
        <w:rPr>
          <w:b/>
        </w:rPr>
        <w:br/>
      </w:r>
      <w:r>
        <w:t xml:space="preserve">Скопируем формулу из F2 во все ячейки диапазона F3:F1001. Те ячейки диапазона, </w:t>
      </w:r>
      <w:bookmarkStart w:id="0" w:name="_GoBack"/>
      <w:bookmarkEnd w:id="0"/>
      <w:r>
        <w:t>которые не пусты, будут содержать бал</w:t>
      </w:r>
      <w:r>
        <w:t>лы студентов химического факультета.</w:t>
      </w:r>
      <w:r>
        <w:br/>
        <w:t>Минимальное и максимальное значения можно вычислять в отдельных свободных ячейках таблицы или в ячейку G3 записать формулу с несколькими функциями:</w:t>
      </w:r>
      <w:r>
        <w:br/>
      </w:r>
      <w:r>
        <w:rPr>
          <w:b/>
        </w:rPr>
        <w:t>=МАКС(F2:F1001)–МИН(F2:F1001)</w:t>
      </w:r>
      <w:r>
        <w:rPr>
          <w:b/>
        </w:rPr>
        <w:br/>
        <w:t>=MAX(F2:F1001)–MIN(F2:F1001)</w:t>
      </w:r>
      <w:r>
        <w:rPr>
          <w:b/>
        </w:rPr>
        <w:br/>
      </w:r>
      <w:r>
        <w:rPr>
          <w:b/>
        </w:rPr>
        <w:br/>
      </w:r>
      <w:r>
        <w:t xml:space="preserve">Возможны и </w:t>
      </w:r>
      <w:r>
        <w:t>другие способы решения задачи.</w:t>
      </w:r>
      <w:r>
        <w:br/>
        <w:t>Если задание выполнено правильно и при выполнении задания</w:t>
      </w:r>
      <w:r>
        <w:br/>
        <w:t>использовались файлы, специально подготовленные для проверки</w:t>
      </w:r>
      <w:r>
        <w:br/>
        <w:t>выполнения данного задания, то должны получиться следующие ответы:</w:t>
      </w:r>
      <w:r>
        <w:br/>
        <w:t>на первый вопрос: 491;</w:t>
      </w:r>
      <w:r>
        <w:br/>
        <w:t>на второй вопрос</w:t>
      </w:r>
      <w:r>
        <w:t>: 19;</w:t>
      </w:r>
      <w:r>
        <w:br/>
        <w:t>на третье задание: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1838325" cy="1276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Сектора диаграммы должны визуально соответствовать соотношению 233:379:95.</w:t>
      </w:r>
      <w:r>
        <w:br/>
        <w:t>Порядок следования секторов может быть любым.</w:t>
      </w:r>
    </w:p>
    <w:p w:rsidR="00712711" w:rsidRDefault="001A1081">
      <w:pPr>
        <w:pStyle w:val="aa"/>
        <w:framePr w:wrap="around"/>
      </w:pPr>
      <w:r>
        <w:t>  15  </w:t>
      </w:r>
    </w:p>
    <w:p w:rsidR="00712711" w:rsidRDefault="00712711"/>
    <w:p w:rsidR="00712711" w:rsidRDefault="001A1081">
      <w:r>
        <w:t>Команды исполнителя будем записывать жирным шрифтом, а комментарии, поясняющие алгоритм и не являющи</w:t>
      </w:r>
      <w:r>
        <w:t>еся его частью, – курсивом. Начало комментария будем обозначать символом «|».</w:t>
      </w:r>
      <w:r>
        <w:br/>
      </w:r>
      <w:r>
        <w:rPr>
          <w:i/>
        </w:rPr>
        <w:t>|Двигаемся вверх, пока не дойдём до вершины лестницы, закрашивая нужные клетки на пути</w:t>
      </w:r>
      <w:r>
        <w:rPr>
          <w:i/>
        </w:rPr>
        <w:br/>
      </w:r>
      <w:r>
        <w:rPr>
          <w:b/>
        </w:rPr>
        <w:t>нц пока не справа свободно</w:t>
      </w:r>
      <w:r>
        <w:rPr>
          <w:b/>
        </w:rPr>
        <w:br/>
        <w:t>          закрасить</w:t>
      </w:r>
      <w:r>
        <w:rPr>
          <w:b/>
        </w:rPr>
        <w:br/>
        <w:t>          вверх</w:t>
      </w:r>
      <w:r>
        <w:rPr>
          <w:b/>
        </w:rPr>
        <w:br/>
        <w:t>          вправо</w:t>
      </w:r>
      <w:r>
        <w:rPr>
          <w:b/>
        </w:rPr>
        <w:br/>
        <w:t>кц</w:t>
      </w:r>
      <w:r>
        <w:rPr>
          <w:b/>
        </w:rPr>
        <w:br/>
      </w:r>
      <w:r>
        <w:rPr>
          <w:i/>
        </w:rPr>
        <w:t>|Закраси</w:t>
      </w:r>
      <w:r>
        <w:rPr>
          <w:i/>
        </w:rPr>
        <w:t>м угловую клетку и переместимся на ступеньку ниже закрасить</w:t>
      </w:r>
      <w:r>
        <w:rPr>
          <w:i/>
        </w:rPr>
        <w:br/>
      </w:r>
      <w:r>
        <w:rPr>
          <w:b/>
        </w:rPr>
        <w:t>          вправо</w:t>
      </w:r>
      <w:r>
        <w:rPr>
          <w:b/>
        </w:rPr>
        <w:br/>
        <w:t>          вниз</w:t>
      </w:r>
      <w:r>
        <w:rPr>
          <w:b/>
        </w:rPr>
        <w:br/>
      </w:r>
      <w:r>
        <w:rPr>
          <w:i/>
        </w:rPr>
        <w:t>|Двигаемся вниз до конца спускающейся лестницы, закрашивая нужные</w:t>
      </w:r>
      <w:r>
        <w:rPr>
          <w:i/>
        </w:rPr>
        <w:br/>
      </w:r>
      <w:r>
        <w:rPr>
          <w:b/>
        </w:rPr>
        <w:t>клетки на пути</w:t>
      </w:r>
      <w:r>
        <w:rPr>
          <w:b/>
        </w:rPr>
        <w:br/>
        <w:t>нц пока не слева свободно</w:t>
      </w:r>
      <w:r>
        <w:rPr>
          <w:b/>
        </w:rPr>
        <w:br/>
        <w:t>          закрасить</w:t>
      </w:r>
      <w:r>
        <w:rPr>
          <w:b/>
        </w:rPr>
        <w:br/>
        <w:t>          вправо</w:t>
      </w:r>
      <w:r>
        <w:rPr>
          <w:b/>
        </w:rPr>
        <w:br/>
        <w:t>          вниз</w:t>
      </w:r>
      <w:r>
        <w:rPr>
          <w:b/>
        </w:rPr>
        <w:br/>
        <w:t>кц</w:t>
      </w:r>
      <w:r>
        <w:rPr>
          <w:b/>
        </w:rPr>
        <w:br/>
      </w:r>
      <w:r>
        <w:t>Во</w:t>
      </w:r>
      <w:r>
        <w:t>зможны и другие варианты решения.</w:t>
      </w:r>
      <w:r>
        <w:br/>
        <w:t>Допускается использование иного синтаксиса инструкций исполнителя, более привычного для учащихся.</w:t>
      </w:r>
      <w:r>
        <w:br/>
        <w:t>Допускается наличие отдельных синтаксических ошибок, не искажающих замысла автора решения.</w:t>
      </w:r>
    </w:p>
    <w:p w:rsidR="00712711" w:rsidRDefault="001A1081">
      <w:pPr>
        <w:pStyle w:val="aa"/>
        <w:framePr w:wrap="around"/>
      </w:pPr>
      <w:r>
        <w:lastRenderedPageBreak/>
        <w:t>  16  </w:t>
      </w:r>
    </w:p>
    <w:p w:rsidR="00712711" w:rsidRDefault="00712711"/>
    <w:p w:rsidR="00712711" w:rsidRDefault="001A1081">
      <w:r>
        <w:t>Решением является програм</w:t>
      </w:r>
      <w:r>
        <w:t>ма, записанная на любом языке программирования. Пример верного решения, записанного на языке Python:</w:t>
      </w:r>
      <w:r>
        <w:rPr>
          <w:noProof/>
          <w:lang w:eastAsia="ru-RU"/>
        </w:rPr>
        <w:drawing>
          <wp:inline distT="0" distB="0" distL="0" distR="0">
            <wp:extent cx="3171825" cy="1209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711" w:rsidRDefault="001A1081">
      <w:r>
        <w:t>Возможны и другие варианты решения.</w:t>
      </w:r>
      <w:r>
        <w:br/>
        <w:t>Для проверки правильности работы программы необходимо использовать следующие тесты:</w:t>
      </w:r>
    </w:p>
    <w:p w:rsidR="00712711" w:rsidRDefault="001A1081">
      <w:r>
        <w:rPr>
          <w:noProof/>
          <w:lang w:eastAsia="ru-RU"/>
        </w:rPr>
        <w:drawing>
          <wp:inline distT="0" distB="0" distL="0" distR="0">
            <wp:extent cx="5267325" cy="1933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2711" w:rsidSect="00852014">
      <w:footerReference w:type="default" r:id="rId1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081" w:rsidRDefault="001A1081" w:rsidP="0055011E">
      <w:pPr>
        <w:spacing w:before="0" w:after="0"/>
      </w:pPr>
      <w:r>
        <w:separator/>
      </w:r>
    </w:p>
  </w:endnote>
  <w:endnote w:type="continuationSeparator" w:id="0">
    <w:p w:rsidR="001A1081" w:rsidRDefault="001A1081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308BE">
      <w:rPr>
        <w:noProof/>
        <w:sz w:val="18"/>
        <w:szCs w:val="18"/>
      </w:rPr>
      <w:t>3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081" w:rsidRDefault="001A1081" w:rsidP="0055011E">
      <w:pPr>
        <w:spacing w:before="0" w:after="0"/>
      </w:pPr>
      <w:r>
        <w:separator/>
      </w:r>
    </w:p>
  </w:footnote>
  <w:footnote w:type="continuationSeparator" w:id="0">
    <w:p w:rsidR="001A1081" w:rsidRDefault="001A1081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A1081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12711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E308BE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AFA28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2024-08-23T17:19:00Z</dcterms:modified>
</cp:coreProperties>
</file>